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3A69B" w14:textId="3E08AD47" w:rsidR="0026343E" w:rsidRPr="00B2646C" w:rsidRDefault="0026343E" w:rsidP="0026343E">
      <w:pPr>
        <w:rPr>
          <w:rFonts w:ascii="黑体" w:eastAsia="黑体" w:hAnsi="黑体" w:cs="仿宋_GB2312"/>
          <w:sz w:val="32"/>
          <w:szCs w:val="32"/>
        </w:rPr>
      </w:pPr>
      <w:r w:rsidRPr="00B2646C">
        <w:rPr>
          <w:rFonts w:ascii="黑体" w:eastAsia="黑体" w:hAnsi="黑体" w:cs="仿宋_GB2312"/>
          <w:sz w:val="32"/>
        </w:rPr>
        <w:t>附件：</w:t>
      </w:r>
    </w:p>
    <w:p w14:paraId="43307DEB" w14:textId="77777777" w:rsidR="0026343E" w:rsidRDefault="0026343E" w:rsidP="0026343E">
      <w:pPr>
        <w:jc w:val="center"/>
        <w:rPr>
          <w:rFonts w:ascii="宋体" w:eastAsia="宋体" w:hAnsi="宋体" w:cs="宋体" w:hint="eastAsia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3V3无人机足球对抗赛规则手册</w:t>
      </w:r>
    </w:p>
    <w:p w14:paraId="365B76B0" w14:textId="77777777" w:rsidR="0026343E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一、项目定义</w:t>
      </w:r>
    </w:p>
    <w:p w14:paraId="6DE5215D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无人机足球赛是以模拟足球比赛的形式，参赛选手在地面通过无线电遥控的方式操控球形无人机，进行“足球攻防”对抗赛，以进入对方球门得分的多少判断胜负。</w:t>
      </w:r>
    </w:p>
    <w:p w14:paraId="0A3DEE6A" w14:textId="77777777" w:rsidR="0026343E" w:rsidRPr="00B2646C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 w:rsidRPr="00B2646C">
        <w:rPr>
          <w:rFonts w:ascii="仿宋" w:eastAsia="仿宋" w:hAnsi="仿宋" w:cs="仿宋" w:hint="eastAsia"/>
          <w:b/>
          <w:bCs/>
          <w:sz w:val="28"/>
          <w:szCs w:val="28"/>
        </w:rPr>
        <w:t>二、场地</w:t>
      </w:r>
    </w:p>
    <w:p w14:paraId="04F01547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1.场地大小：长方形的比赛场地大小为，短边4米，长边8米，高度4米。</w:t>
      </w:r>
    </w:p>
    <w:p w14:paraId="096D0430" w14:textId="77777777" w:rsidR="0026343E" w:rsidRDefault="0026343E" w:rsidP="0026343E">
      <w:pPr>
        <w:ind w:firstLineChars="200" w:firstLine="42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114300" distR="114300" wp14:anchorId="7A8578A6" wp14:editId="6D726CD1">
            <wp:extent cx="4249420" cy="1652905"/>
            <wp:effectExtent l="0" t="0" r="17780" b="23495"/>
            <wp:docPr id="1" name="图片 2" descr="8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8m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4942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64C2D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2.场地标识：发球点在场地的短边1米以上的地方，用线或者点标识，发球点和球在场地的短边，距离要始终保持一致。中心点在中心线中间以点标识。</w:t>
      </w:r>
    </w:p>
    <w:p w14:paraId="41E530AA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3.场地表面：出于对设备的保护，场地设立在人造草地面或有缓冲材质的地面上，场地的缓冲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度需要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提升到1cm以上。</w:t>
      </w:r>
    </w:p>
    <w:p w14:paraId="1088CD31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球门大小以及位置：球门的形状要是圆形，内径直径40cm，外径直径60cm。球门要位于比赛场地短边的中间位置，中心线方向1.5米以上间隔处的中心位置。球门下边缘的高度离比赛场地表面2.2米之间的位置，用金属材料或者支柱从地面开始支撑。球门的平面指向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球场的中央，球门不可左右晃动。</w:t>
      </w:r>
    </w:p>
    <w:p w14:paraId="6B3485B3" w14:textId="77777777" w:rsidR="0026343E" w:rsidRDefault="0026343E" w:rsidP="0026343E">
      <w:pPr>
        <w:ind w:firstLineChars="200" w:firstLine="420"/>
        <w:jc w:val="center"/>
        <w:rPr>
          <w:rFonts w:ascii="仿宋" w:eastAsia="仿宋" w:hAnsi="仿宋" w:cs="仿宋" w:hint="eastAsia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Cs w:val="21"/>
        </w:rPr>
        <w:drawing>
          <wp:inline distT="0" distB="0" distL="114300" distR="114300" wp14:anchorId="59C57926" wp14:editId="07C57DF3">
            <wp:extent cx="2719070" cy="2160270"/>
            <wp:effectExtent l="0" t="0" r="5080" b="1905"/>
            <wp:docPr id="2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0702" w14:textId="77777777" w:rsidR="0026343E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三、参赛人员</w:t>
      </w:r>
    </w:p>
    <w:p w14:paraId="0AEBAF9F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1.人员配置：每支参赛队伍3人；其中1名为“得分无人机球操纵手”，2名为“防守/开道”无人机球操纵手。</w:t>
      </w:r>
    </w:p>
    <w:p w14:paraId="0EBD1CB7" w14:textId="77777777" w:rsidR="0026343E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四、设备要求</w:t>
      </w:r>
    </w:p>
    <w:p w14:paraId="08034391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1.规格：要用圆形的框架组成起来。无人机足球的飞行总重量不得超过0.25千克，框架的直径必须为20厘米±2厘米。</w:t>
      </w:r>
    </w:p>
    <w:p w14:paraId="0043D62A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2.进攻球区分：参与竞技的选手相关队伍的无人机足球与其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他队伍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要明确地可以区分，通过LED灯等方式来区分。同队之间进攻球和防守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球需要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做出区分。</w:t>
      </w:r>
    </w:p>
    <w:p w14:paraId="457BBD7C" w14:textId="77777777" w:rsidR="0026343E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五、规则</w:t>
      </w:r>
    </w:p>
    <w:p w14:paraId="372108AE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1.比赛过程</w:t>
      </w:r>
    </w:p>
    <w:p w14:paraId="0956B9C8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（一）每队选手点名进场把无人机放置在“起降区”后，举手示意；裁判将要求队员确认是否准备好起飞。当各队准备就绪时，裁判员宣布“开始”，比赛正式开始。</w:t>
      </w:r>
    </w:p>
    <w:p w14:paraId="5F21D478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（二）进球：当“得分无人机球”穿过对方球队的球门环时，球队得1分：半个无人机球已经穿过了球门环的正面也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规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为得分，防守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/开道无人机球通过对方球门环不得分。已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方任何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一个无人机球穿过（或半个无人机球已经穿过了）本方球门，则判定对方得分。</w:t>
      </w:r>
    </w:p>
    <w:p w14:paraId="2FE0DCE1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（三）当一方球队进球时，裁判鸣哨，得分方所有无人机必须返回</w:t>
      </w:r>
    </w:p>
    <w:p w14:paraId="6086830C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到各自半场区域，才可以进行下一次进攻。</w:t>
      </w:r>
    </w:p>
    <w:p w14:paraId="235E3F00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（四）比赛过程中，如一方的无人机球坠地，可以继续起飞比赛；如不能再起飞，则只能在单局比赛结束后取出维修，并使用备机上场继续比赛。</w:t>
      </w:r>
    </w:p>
    <w:p w14:paraId="71A39C18" w14:textId="77777777" w:rsidR="0026343E" w:rsidRDefault="0026343E" w:rsidP="0026343E">
      <w:pPr>
        <w:ind w:left="560" w:hangingChars="200" w:hanging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（五）比赛时间结束则由裁判以哨声为准。</w:t>
      </w:r>
    </w:p>
    <w:p w14:paraId="2CA82E4B" w14:textId="77777777" w:rsidR="0026343E" w:rsidRDefault="0026343E" w:rsidP="0026343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2.比赛方法</w:t>
      </w:r>
    </w:p>
    <w:p w14:paraId="4B04CA8A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（一）比赛将按组别进行小组赛、淘汰赛、复赛、半决赛和决赛方式进行。</w:t>
      </w:r>
    </w:p>
    <w:p w14:paraId="11DADB10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（二）根据报名情况按组别进行抽签分组。原则上小组赛同队不同组。</w:t>
      </w:r>
    </w:p>
    <w:p w14:paraId="1412C0DE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（三）每支参赛队伍3人；其中1名为“得分无人机球操纵手”，2名为“防守/开道无人机球操纵手。</w:t>
      </w:r>
    </w:p>
    <w:p w14:paraId="2E7DC623" w14:textId="77777777" w:rsidR="0026343E" w:rsidRDefault="0026343E" w:rsidP="0026343E">
      <w:pPr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3.比赛时间</w:t>
      </w:r>
    </w:p>
    <w:p w14:paraId="2A26FD1D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（一）每节比赛时间为3分钟，每场比赛三节，两节间隔5分钟。</w:t>
      </w:r>
    </w:p>
    <w:p w14:paraId="34C9178E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（二）每队选手进场后有1分钟的准备时间，由裁判员宣布比赛开始；比赛进行中除由裁判宣布的暂停外，比赛将继续。</w:t>
      </w:r>
    </w:p>
    <w:p w14:paraId="21996A25" w14:textId="77777777" w:rsidR="0026343E" w:rsidRPr="00B2646C" w:rsidRDefault="0026343E" w:rsidP="0026343E">
      <w:pPr>
        <w:rPr>
          <w:rFonts w:ascii="仿宋" w:eastAsia="仿宋" w:hAnsi="仿宋" w:cs="仿宋" w:hint="eastAsia"/>
          <w:b/>
          <w:bCs/>
          <w:sz w:val="28"/>
          <w:szCs w:val="28"/>
        </w:rPr>
      </w:pPr>
      <w:r w:rsidRPr="00B2646C">
        <w:rPr>
          <w:rFonts w:ascii="仿宋" w:eastAsia="仿宋" w:hAnsi="仿宋" w:cs="仿宋" w:hint="eastAsia"/>
          <w:b/>
          <w:bCs/>
          <w:sz w:val="28"/>
          <w:szCs w:val="28"/>
        </w:rPr>
        <w:t>六、判罚</w:t>
      </w:r>
    </w:p>
    <w:p w14:paraId="1589D2D4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1.使用不符合竞赛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事规定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或者未经裁判员审核合格的参赛的设备。</w:t>
      </w:r>
    </w:p>
    <w:p w14:paraId="6369CA22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2.比赛进行中非上场队擅自开启或使用无线电设备的。</w:t>
      </w:r>
    </w:p>
    <w:p w14:paraId="6C7C6040" w14:textId="77777777" w:rsidR="0026343E" w:rsidRDefault="0026343E" w:rsidP="0026343E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3.不服从指挥与调度造成严重后果的。</w:t>
      </w:r>
    </w:p>
    <w:p w14:paraId="44C8C014" w14:textId="77777777" w:rsidR="0026343E" w:rsidRPr="0026343E" w:rsidRDefault="0026343E" w:rsidP="0026343E">
      <w:pPr>
        <w:ind w:firstLineChars="1000" w:firstLine="3200"/>
        <w:rPr>
          <w:rFonts w:ascii="仿宋_GB2312" w:eastAsia="仿宋_GB2312" w:hAnsi="仿宋_GB2312" w:cs="仿宋_GB2312"/>
          <w:sz w:val="32"/>
          <w:szCs w:val="32"/>
        </w:rPr>
      </w:pPr>
    </w:p>
    <w:sectPr w:rsidR="0026343E" w:rsidRPr="002634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C2125" w14:textId="77777777" w:rsidR="007A35FE" w:rsidRDefault="007A35FE" w:rsidP="00B2646C">
      <w:pPr>
        <w:rPr>
          <w:rFonts w:hint="eastAsia"/>
        </w:rPr>
      </w:pPr>
      <w:r>
        <w:separator/>
      </w:r>
    </w:p>
  </w:endnote>
  <w:endnote w:type="continuationSeparator" w:id="0">
    <w:p w14:paraId="48A09849" w14:textId="77777777" w:rsidR="007A35FE" w:rsidRDefault="007A35FE" w:rsidP="00B264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F6D26" w14:textId="77777777" w:rsidR="007A35FE" w:rsidRDefault="007A35FE" w:rsidP="00B2646C">
      <w:pPr>
        <w:rPr>
          <w:rFonts w:hint="eastAsia"/>
        </w:rPr>
      </w:pPr>
      <w:r>
        <w:separator/>
      </w:r>
    </w:p>
  </w:footnote>
  <w:footnote w:type="continuationSeparator" w:id="0">
    <w:p w14:paraId="1109D76E" w14:textId="77777777" w:rsidR="007A35FE" w:rsidRDefault="007A35FE" w:rsidP="00B2646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79"/>
    <w:rsid w:val="001E6581"/>
    <w:rsid w:val="002232B7"/>
    <w:rsid w:val="00255679"/>
    <w:rsid w:val="0026343E"/>
    <w:rsid w:val="00407F80"/>
    <w:rsid w:val="00601245"/>
    <w:rsid w:val="006F2122"/>
    <w:rsid w:val="007A35FE"/>
    <w:rsid w:val="008E3783"/>
    <w:rsid w:val="00B2646C"/>
    <w:rsid w:val="00B71BD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31602"/>
  <w15:chartTrackingRefBased/>
  <w15:docId w15:val="{DD3AB9B3-11CF-4004-B23E-B5531065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55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255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link w:val="30"/>
    <w:uiPriority w:val="9"/>
    <w:semiHidden/>
    <w:unhideWhenUsed/>
    <w:qFormat/>
    <w:rsid w:val="00255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semiHidden/>
    <w:unhideWhenUsed/>
    <w:qFormat/>
    <w:rsid w:val="00255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semiHidden/>
    <w:unhideWhenUsed/>
    <w:qFormat/>
    <w:rsid w:val="00255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25567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link w:val="70"/>
    <w:uiPriority w:val="9"/>
    <w:semiHidden/>
    <w:unhideWhenUsed/>
    <w:qFormat/>
    <w:rsid w:val="0025567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link w:val="80"/>
    <w:uiPriority w:val="9"/>
    <w:semiHidden/>
    <w:unhideWhenUsed/>
    <w:qFormat/>
    <w:rsid w:val="0025567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link w:val="90"/>
    <w:uiPriority w:val="9"/>
    <w:semiHidden/>
    <w:unhideWhenUsed/>
    <w:qFormat/>
    <w:rsid w:val="0025567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67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55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link w:val="a4"/>
    <w:uiPriority w:val="10"/>
    <w:qFormat/>
    <w:rsid w:val="0025567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link w:val="a6"/>
    <w:uiPriority w:val="11"/>
    <w:qFormat/>
    <w:rsid w:val="0025567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link w:val="a8"/>
    <w:uiPriority w:val="29"/>
    <w:qFormat/>
    <w:rsid w:val="002556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679"/>
    <w:rPr>
      <w:i/>
      <w:iCs/>
      <w:color w:val="2F5496" w:themeColor="accent1" w:themeShade="BF"/>
    </w:rPr>
  </w:style>
  <w:style w:type="paragraph" w:styleId="ab">
    <w:name w:val="Intense Quote"/>
    <w:basedOn w:val="a"/>
    <w:link w:val="ac"/>
    <w:uiPriority w:val="30"/>
    <w:qFormat/>
    <w:rsid w:val="00255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679"/>
    <w:rPr>
      <w:b/>
      <w:bC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B71BD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1BDD"/>
    <w:rPr>
      <w:color w:val="605E5C"/>
      <w:shd w:val="clear" w:color="auto" w:fill="E1DFDD"/>
    </w:rPr>
  </w:style>
  <w:style w:type="paragraph" w:styleId="af0">
    <w:name w:val="Date"/>
    <w:basedOn w:val="a"/>
    <w:link w:val="af1"/>
    <w:uiPriority w:val="99"/>
    <w:semiHidden/>
    <w:unhideWhenUsed/>
    <w:rsid w:val="0026343E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26343E"/>
  </w:style>
  <w:style w:type="paragraph" w:styleId="af2">
    <w:name w:val="header"/>
    <w:basedOn w:val="a"/>
    <w:link w:val="af3"/>
    <w:uiPriority w:val="99"/>
    <w:unhideWhenUsed/>
    <w:rsid w:val="00B264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0"/>
    <w:link w:val="af2"/>
    <w:uiPriority w:val="99"/>
    <w:rsid w:val="00B2646C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B264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0"/>
    <w:link w:val="af4"/>
    <w:uiPriority w:val="99"/>
    <w:rsid w:val="00B264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Hant" typeface="新細明體"/>
        <a:font script="Arab" typeface="Times New Roman"/>
        <a:font script="Bugi" typeface="Leelawadee UI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Armn" typeface="Arial"/>
        <a:font script="Yiii" typeface="Microsoft Yi Baiti"/>
        <a:font script="Hebr" typeface="Times New Roman"/>
        <a:font script="Cher" typeface="Plantagenet Cherokee"/>
        <a:font script="Thaa" typeface="MV Boli"/>
        <a:font script="Jpan" typeface="游ゴシック Light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Angsana New"/>
        <a:font script="Syrc" typeface="Estrangelo Edessa"/>
        <a:font script="Khmr" typeface="MoolBoran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Times New Roman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ajorFont>
      <a:minorFont>
        <a:latin typeface="等线" panose="020F0502020204030204"/>
        <a:ea typeface=""/>
        <a:cs typeface=""/>
        <a:font script="Hant" typeface="新細明體"/>
        <a:font script="Arab" typeface="Arial"/>
        <a:font script="Bugi" typeface="Leelawadee UI"/>
        <a:font script="Knda" typeface="Tunga"/>
        <a:font script="Taml" typeface="Latha"/>
        <a:font script="Ethi" typeface="Nyala"/>
        <a:font script="Hans" typeface="等线"/>
        <a:font script="Guru" typeface="Raavi"/>
        <a:font script="Armn" typeface="Arial"/>
        <a:font script="Yiii" typeface="Microsoft Yi Baiti"/>
        <a:font script="Hebr" typeface="Arial"/>
        <a:font script="Cher" typeface="Plantagenet Cherokee"/>
        <a:font script="Thaa" typeface="MV Boli"/>
        <a:font script="Jpan" typeface="游明朝"/>
        <a:font script="Bopo" typeface="Microsoft JhengHei"/>
        <a:font script="Beng" typeface="Vrinda"/>
        <a:font script="Uigh" typeface="Microsoft Uighur"/>
        <a:font script="Lisu" typeface="Segoe UI"/>
        <a:font script="Gujr" typeface="Shruti"/>
        <a:font script="Thai" typeface="Cordia New"/>
        <a:font script="Syrc" typeface="Estrangelo Edessa"/>
        <a:font script="Khmr" typeface="DaunPenh"/>
        <a:font script="Syrn" typeface="Estrangelo Edessa"/>
        <a:font script="Tibt" typeface="Microsoft Himalaya"/>
        <a:font script="Mong" typeface="Mongolian Baiti"/>
        <a:font script="Telu" typeface="Gautami"/>
        <a:font script="Hang" typeface="맑은 고딕"/>
        <a:font script="Mlym" typeface="Kartika"/>
        <a:font script="Deva" typeface="Mangal"/>
        <a:font script="Orya" typeface="Kalinga"/>
        <a:font script="Laoo" typeface="DokChampa"/>
        <a:font script="Java" typeface="Javanese Text"/>
        <a:font script="Syre" typeface="Estrangelo Edessa"/>
        <a:font script="Cans" typeface="Euphemia"/>
        <a:font script="Phag" typeface="Phagspa"/>
        <a:font script="Syrj" typeface="Estrangelo Edessa"/>
        <a:font script="Olck" typeface="Nirmala UI"/>
        <a:font script="Mymr" typeface="Myanmar Text"/>
        <a:font script="Viet" typeface="Arial"/>
        <a:font script="Talu" typeface="Microsoft New Tai Lue"/>
        <a:font script="Geor" typeface="Sylfaen"/>
        <a:font script="Sinh" typeface="Iskoola Pota"/>
        <a:font script="Nkoo" typeface="Ebrima"/>
        <a:font script="Osma" typeface="Ebrima"/>
        <a:font script="Sora" typeface="Nirmala UI"/>
        <a:font script="Tale" typeface="Microsoft Tai L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616</Words>
  <Characters>617</Characters>
  <Application>Microsoft Office Word</Application>
  <DocSecurity>0</DocSecurity>
  <Lines>30</Lines>
  <Paragraphs>19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珠宝 赵</dc:creator>
  <cp:keywords/>
  <dc:description/>
  <cp:lastModifiedBy>珠宝 赵</cp:lastModifiedBy>
  <cp:revision>2</cp:revision>
  <dcterms:created xsi:type="dcterms:W3CDTF">2025-05-11T05:31:00Z</dcterms:created>
  <dcterms:modified xsi:type="dcterms:W3CDTF">2025-05-11T05:31:00Z</dcterms:modified>
</cp:coreProperties>
</file>